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BC8" w:rsidRPr="005915F8" w:rsidRDefault="00A23BC8" w:rsidP="0038064B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 w:rsidRPr="005915F8"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:rsidR="00A23BC8" w:rsidRPr="005915F8" w:rsidRDefault="00A23BC8" w:rsidP="0038064B">
      <w:pPr>
        <w:spacing w:after="0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 w:rsidRPr="005915F8"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:rsidR="00A23BC8" w:rsidRPr="002770A7" w:rsidRDefault="00A23BC8" w:rsidP="0038064B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A23BC8" w:rsidRPr="00A23BC8" w:rsidRDefault="00A23BC8" w:rsidP="0038064B">
      <w:pPr>
        <w:spacing w:after="0" w:line="240" w:lineRule="auto"/>
        <w:jc w:val="both"/>
        <w:rPr>
          <w:rFonts w:ascii="Arial" w:eastAsia="Times New Roman" w:hAnsi="Arial" w:cs="Arial"/>
          <w:sz w:val="28"/>
          <w:lang w:eastAsia="sk-SK"/>
        </w:rPr>
      </w:pPr>
      <w:r w:rsidRPr="00A23BC8">
        <w:rPr>
          <w:rFonts w:ascii="Arial" w:eastAsia="Times New Roman" w:hAnsi="Arial" w:cs="Arial"/>
          <w:sz w:val="28"/>
          <w:lang w:eastAsia="sk-SK"/>
        </w:rPr>
        <w:t>Materiál na rokovanie Zastupiteľstva</w:t>
      </w:r>
    </w:p>
    <w:p w:rsidR="00A23BC8" w:rsidRPr="00A23BC8" w:rsidRDefault="00A23BC8" w:rsidP="0038064B">
      <w:pPr>
        <w:spacing w:after="0" w:line="240" w:lineRule="auto"/>
        <w:jc w:val="both"/>
        <w:rPr>
          <w:rFonts w:ascii="Arial" w:eastAsia="Times New Roman" w:hAnsi="Arial" w:cs="Arial"/>
          <w:sz w:val="28"/>
          <w:lang w:eastAsia="sk-SK"/>
        </w:rPr>
      </w:pPr>
      <w:r w:rsidRPr="00A23BC8">
        <w:rPr>
          <w:rFonts w:ascii="Arial" w:eastAsia="Times New Roman" w:hAnsi="Arial" w:cs="Arial"/>
          <w:sz w:val="28"/>
          <w:lang w:eastAsia="sk-SK"/>
        </w:rPr>
        <w:t>Bratislavského samosprávneho kraja</w:t>
      </w:r>
    </w:p>
    <w:p w:rsidR="00A23BC8" w:rsidRPr="00A23BC8" w:rsidRDefault="00A23BC8" w:rsidP="0038064B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24"/>
          <w:lang w:eastAsia="sk-SK"/>
        </w:rPr>
      </w:pPr>
      <w:r w:rsidRPr="00A23BC8">
        <w:rPr>
          <w:rFonts w:ascii="Arial" w:eastAsia="Times New Roman" w:hAnsi="Arial" w:cs="Arial"/>
          <w:bCs/>
          <w:color w:val="000000"/>
          <w:sz w:val="28"/>
          <w:lang w:eastAsia="sk-SK"/>
        </w:rPr>
        <w:t>1</w:t>
      </w:r>
      <w:r>
        <w:rPr>
          <w:rFonts w:ascii="Arial" w:eastAsia="Times New Roman" w:hAnsi="Arial" w:cs="Arial"/>
          <w:bCs/>
          <w:color w:val="000000"/>
          <w:sz w:val="28"/>
          <w:lang w:eastAsia="sk-SK"/>
        </w:rPr>
        <w:t>2</w:t>
      </w:r>
      <w:r w:rsidRPr="00A23BC8">
        <w:rPr>
          <w:rFonts w:ascii="Arial" w:eastAsia="Times New Roman" w:hAnsi="Arial" w:cs="Arial"/>
          <w:bCs/>
          <w:color w:val="000000"/>
          <w:sz w:val="28"/>
          <w:lang w:eastAsia="sk-SK"/>
        </w:rPr>
        <w:t xml:space="preserve">. </w:t>
      </w:r>
      <w:r>
        <w:rPr>
          <w:rFonts w:ascii="Arial" w:eastAsia="Times New Roman" w:hAnsi="Arial" w:cs="Arial"/>
          <w:bCs/>
          <w:color w:val="000000"/>
          <w:sz w:val="28"/>
          <w:lang w:eastAsia="sk-SK"/>
        </w:rPr>
        <w:t>mája</w:t>
      </w:r>
      <w:r w:rsidRPr="00A23BC8">
        <w:rPr>
          <w:rFonts w:ascii="Arial" w:eastAsia="Times New Roman" w:hAnsi="Arial" w:cs="Arial"/>
          <w:bCs/>
          <w:color w:val="000000"/>
          <w:sz w:val="28"/>
          <w:lang w:eastAsia="sk-SK"/>
        </w:rPr>
        <w:t xml:space="preserve"> 2017</w:t>
      </w:r>
    </w:p>
    <w:p w:rsidR="00A23BC8" w:rsidRPr="002770A7" w:rsidRDefault="00A23BC8" w:rsidP="0038064B">
      <w:pPr>
        <w:jc w:val="both"/>
        <w:rPr>
          <w:rFonts w:ascii="Arial" w:hAnsi="Arial" w:cs="Arial"/>
          <w:b/>
        </w:rPr>
      </w:pPr>
    </w:p>
    <w:p w:rsidR="00A23BC8" w:rsidRDefault="003B2F3B" w:rsidP="002A707C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Informácia</w:t>
      </w:r>
      <w:r w:rsidR="00A23BC8" w:rsidRPr="00A52D7F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A23BC8" w:rsidRPr="00A52D7F" w:rsidRDefault="00A23BC8" w:rsidP="002A707C">
      <w:pPr>
        <w:spacing w:after="0"/>
        <w:jc w:val="center"/>
        <w:rPr>
          <w:rFonts w:ascii="Arial" w:hAnsi="Arial" w:cs="Arial"/>
          <w:b/>
          <w:bCs/>
          <w:sz w:val="10"/>
          <w:szCs w:val="32"/>
        </w:rPr>
      </w:pPr>
    </w:p>
    <w:p w:rsidR="00A23BC8" w:rsidRPr="002770A7" w:rsidRDefault="003B2F3B" w:rsidP="002A707C">
      <w:pPr>
        <w:pBdr>
          <w:bottom w:val="single" w:sz="4" w:space="1" w:color="auto"/>
        </w:pBd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 stave realokácie Integrovaného regionálneho operačného programu a progrese prípravy obchvatu Modra-Pezinok s napojením na D1</w:t>
      </w:r>
    </w:p>
    <w:p w:rsidR="00A23BC8" w:rsidRPr="002770A7" w:rsidRDefault="00A23BC8" w:rsidP="002A707C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:rsidR="00A23BC8" w:rsidRDefault="00A23BC8" w:rsidP="0038064B">
      <w:pPr>
        <w:spacing w:after="0"/>
        <w:jc w:val="both"/>
        <w:rPr>
          <w:rFonts w:ascii="Arial" w:hAnsi="Arial" w:cs="Arial"/>
          <w:b/>
        </w:rPr>
      </w:pPr>
    </w:p>
    <w:p w:rsidR="00A23BC8" w:rsidRPr="002770A7" w:rsidRDefault="00A23BC8" w:rsidP="0038064B">
      <w:pPr>
        <w:spacing w:after="0"/>
        <w:jc w:val="both"/>
        <w:rPr>
          <w:rFonts w:ascii="Arial" w:hAnsi="Arial" w:cs="Arial"/>
          <w:b/>
        </w:rPr>
      </w:pPr>
    </w:p>
    <w:p w:rsidR="00A23BC8" w:rsidRPr="005915F8" w:rsidRDefault="00A23BC8" w:rsidP="0038064B">
      <w:pPr>
        <w:spacing w:after="0"/>
        <w:jc w:val="both"/>
        <w:rPr>
          <w:rFonts w:ascii="Arial" w:hAnsi="Arial" w:cs="Arial"/>
          <w:b/>
        </w:rPr>
      </w:pPr>
    </w:p>
    <w:p w:rsidR="00A23BC8" w:rsidRPr="005915F8" w:rsidRDefault="00A23BC8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  <w:u w:val="single"/>
        </w:rPr>
        <w:t>Materiál predkladá:</w:t>
      </w:r>
      <w:r w:rsidRPr="005915F8">
        <w:rPr>
          <w:rFonts w:ascii="Arial" w:hAnsi="Arial" w:cs="Arial"/>
          <w:bCs/>
          <w:color w:val="000000"/>
        </w:rPr>
        <w:tab/>
      </w:r>
      <w:r w:rsidRPr="005915F8">
        <w:rPr>
          <w:rFonts w:ascii="Arial" w:hAnsi="Arial" w:cs="Arial"/>
          <w:bCs/>
          <w:color w:val="000000"/>
          <w:u w:val="single"/>
        </w:rPr>
        <w:t>Materiál obsahuje:</w:t>
      </w:r>
    </w:p>
    <w:p w:rsidR="00A23BC8" w:rsidRPr="005915F8" w:rsidRDefault="00A23BC8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</w:p>
    <w:p w:rsidR="002377CD" w:rsidRPr="002377CD" w:rsidRDefault="002377CD" w:rsidP="0038064B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 w:rsidRPr="002377CD">
        <w:rPr>
          <w:rFonts w:ascii="Arial" w:hAnsi="Arial" w:cs="Arial"/>
          <w:bCs/>
          <w:color w:val="000000"/>
        </w:rPr>
        <w:t xml:space="preserve">Ing. Pavol Frešo, predseda </w:t>
      </w:r>
      <w:r>
        <w:rPr>
          <w:rFonts w:ascii="Arial" w:hAnsi="Arial" w:cs="Arial"/>
          <w:bCs/>
          <w:color w:val="000000"/>
        </w:rPr>
        <w:t>BSK</w:t>
      </w:r>
      <w:r>
        <w:rPr>
          <w:rFonts w:ascii="Arial" w:hAnsi="Arial" w:cs="Arial"/>
          <w:bCs/>
          <w:color w:val="000000"/>
        </w:rPr>
        <w:tab/>
        <w:t>1</w:t>
      </w:r>
      <w:r w:rsidRPr="002377CD">
        <w:rPr>
          <w:rFonts w:ascii="Arial" w:hAnsi="Arial" w:cs="Arial"/>
          <w:bCs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</w:t>
      </w:r>
      <w:r w:rsidRPr="002377CD">
        <w:rPr>
          <w:rFonts w:ascii="Arial" w:hAnsi="Arial" w:cs="Arial"/>
          <w:bCs/>
          <w:color w:val="000000"/>
        </w:rPr>
        <w:t>Návrh uznesenia</w:t>
      </w:r>
    </w:p>
    <w:p w:rsidR="002377CD" w:rsidRDefault="002377CD" w:rsidP="002377CD">
      <w:pPr>
        <w:tabs>
          <w:tab w:val="left" w:pos="5670"/>
        </w:tabs>
        <w:spacing w:after="0"/>
        <w:ind w:right="-3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  <w:t xml:space="preserve">2. Dôvodová správa </w:t>
      </w:r>
    </w:p>
    <w:p w:rsidR="002377CD" w:rsidRDefault="002377CD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</w:r>
    </w:p>
    <w:p w:rsidR="002377CD" w:rsidRDefault="00DF2941" w:rsidP="002377CD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ab/>
      </w:r>
    </w:p>
    <w:p w:rsidR="00A23BC8" w:rsidRPr="005915F8" w:rsidRDefault="00A23BC8" w:rsidP="0038064B">
      <w:pPr>
        <w:tabs>
          <w:tab w:val="left" w:pos="5670"/>
        </w:tabs>
        <w:spacing w:after="0"/>
        <w:jc w:val="both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</w:rPr>
        <w:tab/>
        <w:t xml:space="preserve"> </w:t>
      </w:r>
    </w:p>
    <w:p w:rsidR="00A23BC8" w:rsidRPr="002770A7" w:rsidRDefault="00A23BC8" w:rsidP="0038064B">
      <w:pPr>
        <w:spacing w:after="0"/>
        <w:jc w:val="both"/>
        <w:rPr>
          <w:rFonts w:ascii="Arial" w:hAnsi="Arial" w:cs="Arial"/>
        </w:rPr>
      </w:pPr>
      <w:r w:rsidRPr="002770A7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</w:t>
      </w:r>
    </w:p>
    <w:p w:rsidR="00A23BC8" w:rsidRPr="002770A7" w:rsidRDefault="00A23BC8" w:rsidP="0038064B">
      <w:pPr>
        <w:spacing w:after="0"/>
        <w:jc w:val="both"/>
        <w:rPr>
          <w:rFonts w:ascii="Arial" w:hAnsi="Arial" w:cs="Arial"/>
          <w:u w:val="single"/>
        </w:rPr>
      </w:pPr>
    </w:p>
    <w:p w:rsidR="00A23BC8" w:rsidRPr="002770A7" w:rsidRDefault="00A23BC8" w:rsidP="0038064B">
      <w:pPr>
        <w:spacing w:after="0"/>
        <w:jc w:val="both"/>
        <w:rPr>
          <w:rFonts w:ascii="Arial" w:hAnsi="Arial" w:cs="Arial"/>
          <w:u w:val="single"/>
        </w:rPr>
      </w:pPr>
    </w:p>
    <w:p w:rsidR="00A23BC8" w:rsidRDefault="00A23BC8" w:rsidP="0038064B">
      <w:pPr>
        <w:spacing w:after="0"/>
        <w:jc w:val="both"/>
        <w:rPr>
          <w:rFonts w:ascii="Arial" w:hAnsi="Arial" w:cs="Arial"/>
          <w:u w:val="single"/>
        </w:rPr>
      </w:pPr>
      <w:r w:rsidRPr="002377CD">
        <w:rPr>
          <w:rFonts w:ascii="Arial" w:hAnsi="Arial" w:cs="Arial"/>
          <w:u w:val="single"/>
        </w:rPr>
        <w:t>Zodpovedná:</w:t>
      </w:r>
    </w:p>
    <w:p w:rsidR="003B2F3B" w:rsidRDefault="003B2F3B" w:rsidP="0038064B">
      <w:pPr>
        <w:spacing w:after="0"/>
        <w:jc w:val="both"/>
        <w:rPr>
          <w:rFonts w:ascii="Arial" w:hAnsi="Arial" w:cs="Arial"/>
          <w:u w:val="single"/>
        </w:rPr>
      </w:pPr>
    </w:p>
    <w:p w:rsidR="003B2F3B" w:rsidRPr="003B2F3B" w:rsidRDefault="003B2F3B" w:rsidP="0038064B">
      <w:pPr>
        <w:spacing w:after="0"/>
        <w:jc w:val="both"/>
        <w:rPr>
          <w:rFonts w:ascii="Arial" w:hAnsi="Arial" w:cs="Arial"/>
        </w:rPr>
      </w:pPr>
      <w:r w:rsidRPr="003B2F3B">
        <w:rPr>
          <w:rFonts w:ascii="Arial" w:hAnsi="Arial" w:cs="Arial"/>
        </w:rPr>
        <w:t>PhDr. Stanislav Bruna</w:t>
      </w:r>
    </w:p>
    <w:p w:rsidR="003B2F3B" w:rsidRPr="003B2F3B" w:rsidRDefault="003B2F3B" w:rsidP="0038064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3B2F3B">
        <w:rPr>
          <w:rFonts w:ascii="Arial" w:hAnsi="Arial" w:cs="Arial"/>
        </w:rPr>
        <w:t>iaditeľ odboru</w:t>
      </w:r>
      <w:r>
        <w:rPr>
          <w:rFonts w:ascii="Arial" w:hAnsi="Arial" w:cs="Arial"/>
        </w:rPr>
        <w:t xml:space="preserve"> implementácie operačných programov</w:t>
      </w:r>
    </w:p>
    <w:p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Mgr. Barbora Lukáčová</w:t>
      </w:r>
    </w:p>
    <w:p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lastRenderedPageBreak/>
        <w:t>riaditeľka odboru stratégie, územného rozvoja a riadenia projektov</w:t>
      </w:r>
    </w:p>
    <w:p w:rsidR="00A23BC8" w:rsidRPr="002377CD" w:rsidRDefault="00A23BC8" w:rsidP="0038064B">
      <w:pPr>
        <w:spacing w:after="0"/>
        <w:jc w:val="both"/>
        <w:rPr>
          <w:rFonts w:ascii="Arial" w:hAnsi="Arial" w:cs="Arial"/>
        </w:rPr>
      </w:pPr>
    </w:p>
    <w:p w:rsidR="00A23BC8" w:rsidRPr="002377CD" w:rsidRDefault="00A23BC8" w:rsidP="0038064B">
      <w:pPr>
        <w:spacing w:after="0"/>
        <w:jc w:val="both"/>
        <w:rPr>
          <w:rFonts w:ascii="Arial" w:hAnsi="Arial" w:cs="Arial"/>
          <w:u w:val="single"/>
        </w:rPr>
      </w:pPr>
      <w:r w:rsidRPr="002377CD">
        <w:rPr>
          <w:rFonts w:ascii="Arial" w:hAnsi="Arial" w:cs="Arial"/>
          <w:u w:val="single"/>
        </w:rPr>
        <w:t>Spracovatelia:</w:t>
      </w:r>
    </w:p>
    <w:p w:rsidR="00A23BC8" w:rsidRPr="00A23BC8" w:rsidRDefault="00A23BC8" w:rsidP="0038064B">
      <w:pPr>
        <w:spacing w:after="0"/>
        <w:jc w:val="both"/>
        <w:rPr>
          <w:rFonts w:ascii="Arial" w:hAnsi="Arial" w:cs="Arial"/>
          <w:highlight w:val="yellow"/>
        </w:rPr>
      </w:pPr>
    </w:p>
    <w:p w:rsidR="003B2F3B" w:rsidRPr="003B2F3B" w:rsidRDefault="003B2F3B" w:rsidP="003B2F3B">
      <w:pPr>
        <w:spacing w:after="0"/>
        <w:jc w:val="both"/>
        <w:rPr>
          <w:rFonts w:ascii="Arial" w:hAnsi="Arial" w:cs="Arial"/>
        </w:rPr>
      </w:pPr>
      <w:r w:rsidRPr="003B2F3B">
        <w:rPr>
          <w:rFonts w:ascii="Arial" w:hAnsi="Arial" w:cs="Arial"/>
        </w:rPr>
        <w:t>PhDr. Stanislav Bruna</w:t>
      </w:r>
    </w:p>
    <w:p w:rsidR="003B2F3B" w:rsidRPr="003B2F3B" w:rsidRDefault="003B2F3B" w:rsidP="003B2F3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Pr="003B2F3B">
        <w:rPr>
          <w:rFonts w:ascii="Arial" w:hAnsi="Arial" w:cs="Arial"/>
        </w:rPr>
        <w:t>iaditeľ odboru</w:t>
      </w:r>
      <w:r>
        <w:rPr>
          <w:rFonts w:ascii="Arial" w:hAnsi="Arial" w:cs="Arial"/>
        </w:rPr>
        <w:t xml:space="preserve"> implementácie operačných programov</w:t>
      </w:r>
    </w:p>
    <w:p w:rsidR="003B2F3B" w:rsidRPr="002377CD" w:rsidRDefault="003B2F3B" w:rsidP="003B2F3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Mgr. Barbora Lukáčová</w:t>
      </w:r>
    </w:p>
    <w:p w:rsidR="003B2F3B" w:rsidRPr="002377CD" w:rsidRDefault="003B2F3B" w:rsidP="003B2F3B">
      <w:pPr>
        <w:spacing w:after="0"/>
        <w:jc w:val="both"/>
        <w:rPr>
          <w:rFonts w:ascii="Arial" w:hAnsi="Arial" w:cs="Arial"/>
        </w:rPr>
      </w:pPr>
      <w:r w:rsidRPr="002377CD">
        <w:rPr>
          <w:rFonts w:ascii="Arial" w:hAnsi="Arial" w:cs="Arial"/>
        </w:rPr>
        <w:t>riaditeľka odboru stratégie, územného rozvoja a riadenia projektov</w:t>
      </w:r>
    </w:p>
    <w:p w:rsidR="00A23BC8" w:rsidRPr="002770A7" w:rsidRDefault="00A23BC8" w:rsidP="0038064B">
      <w:pPr>
        <w:spacing w:after="0"/>
        <w:jc w:val="both"/>
        <w:rPr>
          <w:rFonts w:ascii="Arial" w:hAnsi="Arial" w:cs="Arial"/>
        </w:rPr>
      </w:pPr>
    </w:p>
    <w:p w:rsidR="00A23BC8" w:rsidRDefault="00A23BC8" w:rsidP="0038064B">
      <w:pPr>
        <w:spacing w:after="0"/>
        <w:jc w:val="both"/>
        <w:rPr>
          <w:rFonts w:ascii="Arial" w:hAnsi="Arial" w:cs="Arial"/>
          <w:spacing w:val="70"/>
        </w:rPr>
      </w:pPr>
    </w:p>
    <w:p w:rsidR="00F51EB4" w:rsidRDefault="00F51EB4" w:rsidP="0038064B">
      <w:pPr>
        <w:spacing w:after="0"/>
        <w:jc w:val="both"/>
        <w:rPr>
          <w:rFonts w:ascii="Arial" w:hAnsi="Arial" w:cs="Arial"/>
          <w:spacing w:val="70"/>
        </w:rPr>
      </w:pPr>
    </w:p>
    <w:p w:rsidR="00F51EB4" w:rsidRDefault="00F51EB4" w:rsidP="0038064B">
      <w:pPr>
        <w:spacing w:after="0"/>
        <w:jc w:val="both"/>
        <w:rPr>
          <w:rFonts w:ascii="Arial" w:hAnsi="Arial" w:cs="Arial"/>
          <w:spacing w:val="70"/>
        </w:rPr>
      </w:pPr>
    </w:p>
    <w:p w:rsidR="00A23BC8" w:rsidRPr="005915F8" w:rsidRDefault="00A23BC8" w:rsidP="009A306F">
      <w:pPr>
        <w:spacing w:after="0"/>
        <w:jc w:val="center"/>
        <w:rPr>
          <w:rFonts w:ascii="Arial" w:hAnsi="Arial" w:cs="Arial"/>
          <w:bCs/>
          <w:color w:val="000000"/>
        </w:rPr>
      </w:pPr>
      <w:r w:rsidRPr="005915F8">
        <w:rPr>
          <w:rFonts w:ascii="Arial" w:hAnsi="Arial" w:cs="Arial"/>
          <w:bCs/>
          <w:color w:val="000000"/>
        </w:rPr>
        <w:t>Bratislava</w:t>
      </w:r>
    </w:p>
    <w:p w:rsidR="00A23BC8" w:rsidRDefault="00A23BC8" w:rsidP="009A306F">
      <w:pPr>
        <w:spacing w:after="0" w:line="259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color w:val="000000"/>
        </w:rPr>
        <w:t>máj</w:t>
      </w:r>
      <w:r w:rsidRPr="005915F8">
        <w:rPr>
          <w:rFonts w:ascii="Arial" w:hAnsi="Arial" w:cs="Arial"/>
          <w:bCs/>
          <w:color w:val="000000"/>
        </w:rPr>
        <w:t xml:space="preserve"> 201</w:t>
      </w:r>
      <w:r>
        <w:rPr>
          <w:rFonts w:ascii="Arial" w:hAnsi="Arial" w:cs="Arial"/>
          <w:bCs/>
          <w:color w:val="000000"/>
        </w:rPr>
        <w:t>7</w:t>
      </w:r>
    </w:p>
    <w:p w:rsidR="00DF2941" w:rsidRDefault="00DF2941" w:rsidP="00C72750">
      <w:pPr>
        <w:spacing w:after="0" w:line="240" w:lineRule="auto"/>
        <w:jc w:val="center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</w:p>
    <w:p w:rsidR="00663E93" w:rsidRPr="00663E93" w:rsidRDefault="00663E93" w:rsidP="00F51EB4">
      <w:pPr>
        <w:spacing w:after="160" w:line="259" w:lineRule="auto"/>
        <w:jc w:val="center"/>
        <w:rPr>
          <w:rFonts w:ascii="Arial" w:eastAsia="Times New Roman" w:hAnsi="Arial" w:cs="Arial"/>
          <w:spacing w:val="70"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spacing w:val="70"/>
          <w:sz w:val="24"/>
          <w:szCs w:val="24"/>
          <w:lang w:eastAsia="sk-SK"/>
        </w:rPr>
        <w:t>Návrh uznesenia</w:t>
      </w:r>
    </w:p>
    <w:p w:rsidR="006E44B8" w:rsidRDefault="006E44B8" w:rsidP="00C72750">
      <w:pPr>
        <w:jc w:val="center"/>
        <w:rPr>
          <w:rFonts w:ascii="Arial" w:hAnsi="Arial" w:cs="Arial"/>
          <w:b/>
          <w:sz w:val="32"/>
          <w:szCs w:val="32"/>
        </w:rPr>
      </w:pPr>
    </w:p>
    <w:p w:rsidR="00663E93" w:rsidRPr="00663E93" w:rsidRDefault="00663E93" w:rsidP="00C7275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b/>
          <w:sz w:val="24"/>
          <w:szCs w:val="24"/>
          <w:lang w:eastAsia="sk-SK"/>
        </w:rPr>
        <w:t>UZNESENIE č. ....... / 2017</w:t>
      </w:r>
    </w:p>
    <w:p w:rsidR="00663E93" w:rsidRPr="00663E93" w:rsidRDefault="00663E93" w:rsidP="00C72750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sk-SK"/>
        </w:rPr>
      </w:pPr>
    </w:p>
    <w:p w:rsidR="00663E93" w:rsidRPr="00663E93" w:rsidRDefault="00663E93" w:rsidP="00C72750">
      <w:pPr>
        <w:spacing w:after="0" w:line="240" w:lineRule="auto"/>
        <w:jc w:val="center"/>
        <w:rPr>
          <w:rFonts w:ascii="Arial" w:eastAsia="Times New Roman" w:hAnsi="Arial" w:cs="Arial"/>
          <w:lang w:eastAsia="sk-SK"/>
        </w:rPr>
      </w:pPr>
      <w:r w:rsidRPr="00663E93">
        <w:rPr>
          <w:rFonts w:ascii="Arial" w:eastAsia="Times New Roman" w:hAnsi="Arial" w:cs="Arial"/>
          <w:lang w:eastAsia="sk-SK"/>
        </w:rPr>
        <w:t>zo dňa </w:t>
      </w:r>
      <w:r>
        <w:rPr>
          <w:rFonts w:ascii="Arial" w:eastAsia="Times New Roman" w:hAnsi="Arial" w:cs="Arial"/>
          <w:lang w:eastAsia="sk-SK"/>
        </w:rPr>
        <w:t>12</w:t>
      </w:r>
      <w:r w:rsidRPr="00663E93">
        <w:rPr>
          <w:rFonts w:ascii="Arial" w:eastAsia="Times New Roman" w:hAnsi="Arial" w:cs="Arial"/>
          <w:lang w:eastAsia="sk-SK"/>
        </w:rPr>
        <w:t>.</w:t>
      </w:r>
      <w:r>
        <w:rPr>
          <w:rFonts w:ascii="Arial" w:eastAsia="Times New Roman" w:hAnsi="Arial" w:cs="Arial"/>
          <w:lang w:eastAsia="sk-SK"/>
        </w:rPr>
        <w:t>5</w:t>
      </w:r>
      <w:r w:rsidRPr="00663E93">
        <w:rPr>
          <w:rFonts w:ascii="Arial" w:eastAsia="Times New Roman" w:hAnsi="Arial" w:cs="Arial"/>
          <w:lang w:eastAsia="sk-SK"/>
        </w:rPr>
        <w:t>.2017</w:t>
      </w:r>
    </w:p>
    <w:p w:rsidR="006E44B8" w:rsidRDefault="006E44B8" w:rsidP="0038064B">
      <w:pPr>
        <w:shd w:val="clear" w:color="auto" w:fill="FFFFFF"/>
        <w:spacing w:line="274" w:lineRule="exact"/>
        <w:ind w:left="11"/>
        <w:jc w:val="both"/>
        <w:rPr>
          <w:rFonts w:ascii="Arial" w:hAnsi="Arial" w:cs="Arial"/>
        </w:rPr>
      </w:pPr>
    </w:p>
    <w:p w:rsidR="006E44B8" w:rsidRDefault="006E44B8" w:rsidP="0038064B">
      <w:pPr>
        <w:jc w:val="both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Zastupiteľstvo Bratislavského samosprávneho kraja po prerokovaní materiálu</w:t>
      </w:r>
    </w:p>
    <w:p w:rsidR="006E44B8" w:rsidRPr="00663E93" w:rsidRDefault="006E44B8" w:rsidP="00C72750">
      <w:pPr>
        <w:jc w:val="center"/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</w:pPr>
      <w:r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br/>
      </w:r>
      <w:r>
        <w:rPr>
          <w:rFonts w:ascii="Arial" w:hAnsi="Arial" w:cs="Arial"/>
          <w:b/>
        </w:rPr>
        <w:t xml:space="preserve"> </w:t>
      </w:r>
      <w:r w:rsidRPr="00663E93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 xml:space="preserve">A. </w:t>
      </w:r>
      <w:r w:rsidR="003B2F3B">
        <w:rPr>
          <w:rFonts w:ascii="Arial" w:eastAsia="Times New Roman" w:hAnsi="Arial" w:cs="Arial"/>
          <w:b/>
          <w:spacing w:val="70"/>
          <w:sz w:val="24"/>
          <w:szCs w:val="24"/>
          <w:lang w:eastAsia="sk-SK"/>
        </w:rPr>
        <w:t>berie na vedomie</w:t>
      </w:r>
    </w:p>
    <w:p w:rsidR="006E44B8" w:rsidRDefault="006E44B8" w:rsidP="0038064B">
      <w:pPr>
        <w:spacing w:after="0"/>
        <w:jc w:val="both"/>
        <w:rPr>
          <w:rFonts w:ascii="Arial" w:hAnsi="Arial" w:cs="Arial"/>
          <w:b/>
        </w:rPr>
      </w:pPr>
    </w:p>
    <w:p w:rsidR="00021E9F" w:rsidRDefault="003B2F3B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Informáciu  </w:t>
      </w:r>
      <w:r w:rsidRPr="003B2F3B">
        <w:rPr>
          <w:rFonts w:ascii="Arial" w:hAnsi="Arial" w:cs="Arial"/>
          <w:bCs/>
        </w:rPr>
        <w:t>o stave realokácie Integrovaného regionálneho operačného programu a progrese prípravy obchvatu Modra-Pezinok s napojením na D1</w:t>
      </w:r>
    </w:p>
    <w:p w:rsidR="00021E9F" w:rsidRDefault="00021E9F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021E9F" w:rsidRDefault="00021E9F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021E9F" w:rsidRDefault="00021E9F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EA7E17" w:rsidRDefault="00EA7E17" w:rsidP="00021E9F">
      <w:pPr>
        <w:pBdr>
          <w:bottom w:val="single" w:sz="4" w:space="2" w:color="auto"/>
        </w:pBdr>
        <w:spacing w:after="0"/>
        <w:jc w:val="center"/>
        <w:rPr>
          <w:rFonts w:ascii="Arial" w:hAnsi="Arial" w:cs="Arial"/>
          <w:bCs/>
        </w:rPr>
      </w:pPr>
    </w:p>
    <w:p w:rsidR="00663E93" w:rsidRPr="00663E93" w:rsidRDefault="00021E9F" w:rsidP="007F6336">
      <w:pPr>
        <w:spacing w:after="160" w:line="259" w:lineRule="auto"/>
        <w:jc w:val="center"/>
        <w:rPr>
          <w:rFonts w:ascii="Arial" w:eastAsia="Times New Roman" w:hAnsi="Arial" w:cs="Arial"/>
          <w:b/>
          <w:bCs/>
          <w:lang w:eastAsia="sk-SK"/>
        </w:rPr>
      </w:pPr>
      <w:r>
        <w:rPr>
          <w:rFonts w:ascii="Arial" w:hAnsi="Arial" w:cs="Arial"/>
          <w:bCs/>
        </w:rPr>
        <w:br w:type="page"/>
      </w:r>
      <w:r w:rsidR="00663E93" w:rsidRPr="00663E93">
        <w:rPr>
          <w:rFonts w:ascii="Arial" w:eastAsia="Times New Roman" w:hAnsi="Arial" w:cs="Arial"/>
          <w:b/>
          <w:bCs/>
          <w:lang w:eastAsia="sk-SK"/>
        </w:rPr>
        <w:lastRenderedPageBreak/>
        <w:t>D ô v o d o v á     s p r á v a</w:t>
      </w:r>
    </w:p>
    <w:p w:rsidR="006E44B8" w:rsidRDefault="006E44B8" w:rsidP="0038064B">
      <w:pPr>
        <w:jc w:val="both"/>
        <w:rPr>
          <w:rFonts w:ascii="Arial" w:hAnsi="Arial" w:cs="Arial"/>
          <w:b/>
          <w:spacing w:val="70"/>
        </w:rPr>
      </w:pPr>
    </w:p>
    <w:p w:rsidR="009D76FD" w:rsidRDefault="000D25A3" w:rsidP="00EA7E17">
      <w:pPr>
        <w:jc w:val="both"/>
        <w:rPr>
          <w:rFonts w:ascii="Arial" w:hAnsi="Arial" w:cs="Arial"/>
        </w:rPr>
      </w:pPr>
      <w:r w:rsidRPr="000D25A3">
        <w:rPr>
          <w:rFonts w:ascii="Arial" w:hAnsi="Arial" w:cs="Arial"/>
        </w:rPr>
        <w:t xml:space="preserve">Dňa </w:t>
      </w:r>
      <w:r>
        <w:rPr>
          <w:rFonts w:ascii="Arial" w:hAnsi="Arial" w:cs="Arial"/>
        </w:rPr>
        <w:t>11.</w:t>
      </w:r>
      <w:r w:rsidR="00EA7E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mája 2017 jednohlasne schváli členovia Rady Partnerstva Bratislavského kraja pre </w:t>
      </w:r>
      <w:r w:rsidR="00EA7E17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egionálnu integrovanú územnú stratégiu Bratislavského kraja na roky 2014-2020 </w:t>
      </w:r>
      <w:r w:rsidR="009D76FD">
        <w:rPr>
          <w:rFonts w:ascii="Arial" w:hAnsi="Arial" w:cs="Arial"/>
        </w:rPr>
        <w:t xml:space="preserve">realokáciu finančných prostriedkov </w:t>
      </w:r>
      <w:r w:rsidR="000E667D">
        <w:rPr>
          <w:rFonts w:ascii="Arial" w:hAnsi="Arial" w:cs="Arial"/>
        </w:rPr>
        <w:t xml:space="preserve">zo zdrojov Európskeho fondu regionálneho rozvoja (ERFF) </w:t>
      </w:r>
      <w:r w:rsidR="009D76FD">
        <w:rPr>
          <w:rFonts w:ascii="Arial" w:hAnsi="Arial" w:cs="Arial"/>
        </w:rPr>
        <w:t xml:space="preserve">v rámci prioritnej osi 1 - </w:t>
      </w:r>
      <w:r w:rsidR="009D76FD" w:rsidRPr="009D76FD">
        <w:rPr>
          <w:rFonts w:ascii="Arial" w:hAnsi="Arial" w:cs="Arial"/>
        </w:rPr>
        <w:t>Bezpečná a ekologická doprava v regiónoch v rámci IROP 2014-2020</w:t>
      </w:r>
      <w:r w:rsidR="000E667D">
        <w:rPr>
          <w:rFonts w:ascii="Arial" w:hAnsi="Arial" w:cs="Arial"/>
        </w:rPr>
        <w:t xml:space="preserve"> nasledujúcim spôsobom:</w:t>
      </w:r>
    </w:p>
    <w:p w:rsidR="00491ACE" w:rsidRPr="007F6336" w:rsidRDefault="00491ACE" w:rsidP="007F6336">
      <w:pPr>
        <w:rPr>
          <w:rFonts w:ascii="Arial" w:hAnsi="Arial" w:cs="Arial"/>
        </w:rPr>
      </w:pPr>
      <w:r>
        <w:rPr>
          <w:rFonts w:ascii="Arial" w:hAnsi="Arial" w:cs="Arial"/>
        </w:rPr>
        <w:t>Tabuľka č.1</w:t>
      </w:r>
    </w:p>
    <w:tbl>
      <w:tblPr>
        <w:tblStyle w:val="Mriekatabuky"/>
        <w:tblpPr w:leftFromText="141" w:rightFromText="141" w:vertAnchor="text" w:horzAnchor="margin" w:tblpY="203"/>
        <w:tblW w:w="10173" w:type="dxa"/>
        <w:tblLook w:val="04A0" w:firstRow="1" w:lastRow="0" w:firstColumn="1" w:lastColumn="0" w:noHBand="0" w:noVBand="1"/>
      </w:tblPr>
      <w:tblGrid>
        <w:gridCol w:w="4928"/>
        <w:gridCol w:w="1716"/>
        <w:gridCol w:w="1859"/>
        <w:gridCol w:w="1670"/>
      </w:tblGrid>
      <w:tr w:rsidR="00491ACE" w:rsidRPr="000D5831" w:rsidTr="007F6336">
        <w:trPr>
          <w:trHeight w:val="135"/>
        </w:trPr>
        <w:tc>
          <w:tcPr>
            <w:tcW w:w="4928" w:type="dxa"/>
            <w:vMerge w:val="restart"/>
            <w:vAlign w:val="center"/>
            <w:hideMark/>
          </w:tcPr>
          <w:p w:rsidR="00491ACE" w:rsidRPr="00491ACE" w:rsidRDefault="00491ACE" w:rsidP="00491ACE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91ACE">
              <w:rPr>
                <w:rFonts w:ascii="Arial" w:hAnsi="Arial" w:cs="Arial"/>
                <w:b/>
                <w:bCs/>
                <w:iCs/>
              </w:rPr>
              <w:t>Špecifický cieľ</w:t>
            </w:r>
          </w:p>
        </w:tc>
        <w:tc>
          <w:tcPr>
            <w:tcW w:w="5245" w:type="dxa"/>
            <w:gridSpan w:val="3"/>
            <w:vAlign w:val="center"/>
            <w:hideMark/>
          </w:tcPr>
          <w:p w:rsidR="00491ACE" w:rsidRPr="00491ACE" w:rsidRDefault="00491ACE" w:rsidP="007F6336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91ACE">
              <w:rPr>
                <w:rFonts w:ascii="Arial" w:hAnsi="Arial" w:cs="Arial"/>
                <w:b/>
                <w:bCs/>
                <w:iCs/>
              </w:rPr>
              <w:t>Návrh revízie RIÚS (E</w:t>
            </w:r>
            <w:r w:rsidR="00A42FBF">
              <w:rPr>
                <w:rFonts w:ascii="Arial" w:hAnsi="Arial" w:cs="Arial"/>
                <w:b/>
                <w:bCs/>
                <w:iCs/>
              </w:rPr>
              <w:t>RFF</w:t>
            </w:r>
            <w:r w:rsidRPr="00491ACE">
              <w:rPr>
                <w:rFonts w:ascii="Arial" w:hAnsi="Arial" w:cs="Arial"/>
                <w:b/>
                <w:bCs/>
                <w:iCs/>
              </w:rPr>
              <w:t>)</w:t>
            </w:r>
          </w:p>
        </w:tc>
      </w:tr>
      <w:tr w:rsidR="00491ACE" w:rsidRPr="000D5831" w:rsidTr="007F6336">
        <w:trPr>
          <w:trHeight w:val="341"/>
        </w:trPr>
        <w:tc>
          <w:tcPr>
            <w:tcW w:w="4928" w:type="dxa"/>
            <w:vMerge/>
            <w:hideMark/>
          </w:tcPr>
          <w:p w:rsidR="00491ACE" w:rsidRPr="00491ACE" w:rsidRDefault="00491ACE" w:rsidP="00491ACE">
            <w:pPr>
              <w:jc w:val="both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</w:p>
        </w:tc>
        <w:tc>
          <w:tcPr>
            <w:tcW w:w="1716" w:type="dxa"/>
            <w:noWrap/>
            <w:vAlign w:val="center"/>
            <w:hideMark/>
          </w:tcPr>
          <w:p w:rsidR="00491ACE" w:rsidRPr="00491ACE" w:rsidRDefault="00491ACE" w:rsidP="007F6336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91ACE">
              <w:rPr>
                <w:rFonts w:ascii="Arial" w:hAnsi="Arial" w:cs="Arial"/>
                <w:b/>
                <w:bCs/>
                <w:iCs/>
              </w:rPr>
              <w:t>SPOLU</w:t>
            </w:r>
          </w:p>
        </w:tc>
        <w:tc>
          <w:tcPr>
            <w:tcW w:w="1859" w:type="dxa"/>
            <w:noWrap/>
            <w:vAlign w:val="center"/>
            <w:hideMark/>
          </w:tcPr>
          <w:p w:rsidR="00491ACE" w:rsidRPr="00491ACE" w:rsidRDefault="00491ACE" w:rsidP="007F6336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91ACE">
              <w:rPr>
                <w:rFonts w:ascii="Arial" w:hAnsi="Arial" w:cs="Arial"/>
                <w:b/>
                <w:bCs/>
                <w:iCs/>
              </w:rPr>
              <w:t>ÚMR</w:t>
            </w:r>
          </w:p>
        </w:tc>
        <w:tc>
          <w:tcPr>
            <w:tcW w:w="1670" w:type="dxa"/>
            <w:noWrap/>
            <w:vAlign w:val="center"/>
            <w:hideMark/>
          </w:tcPr>
          <w:p w:rsidR="00491ACE" w:rsidRPr="00491ACE" w:rsidRDefault="00491ACE" w:rsidP="007F6336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491ACE">
              <w:rPr>
                <w:rFonts w:ascii="Arial" w:hAnsi="Arial" w:cs="Arial"/>
                <w:b/>
                <w:bCs/>
                <w:iCs/>
              </w:rPr>
              <w:t>RIÚS</w:t>
            </w:r>
          </w:p>
        </w:tc>
      </w:tr>
      <w:tr w:rsidR="00491ACE" w:rsidRPr="000D5831" w:rsidTr="007F6336">
        <w:trPr>
          <w:trHeight w:val="1004"/>
        </w:trPr>
        <w:tc>
          <w:tcPr>
            <w:tcW w:w="4928" w:type="dxa"/>
            <w:vAlign w:val="center"/>
            <w:hideMark/>
          </w:tcPr>
          <w:p w:rsidR="00491ACE" w:rsidRPr="00491ACE" w:rsidRDefault="00491ACE" w:rsidP="00491ACE">
            <w:pPr>
              <w:rPr>
                <w:rFonts w:ascii="Arial" w:hAnsi="Arial" w:cs="Arial"/>
                <w:b/>
                <w:iCs/>
              </w:rPr>
            </w:pPr>
            <w:r w:rsidRPr="00491ACE">
              <w:rPr>
                <w:rFonts w:ascii="Arial" w:hAnsi="Arial" w:cs="Arial"/>
                <w:b/>
                <w:iCs/>
              </w:rPr>
              <w:t>ŠC 1.1 Zlepšenie dostupnosti k cestnej infraštruktúre TEN-T a cestám I. triedy s dôrazom na rozvoj multimodálneho dopravného systému</w:t>
            </w:r>
          </w:p>
        </w:tc>
        <w:tc>
          <w:tcPr>
            <w:tcW w:w="1716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8 000 000</w:t>
            </w:r>
          </w:p>
        </w:tc>
        <w:tc>
          <w:tcPr>
            <w:tcW w:w="1859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4 136 106,20</w:t>
            </w:r>
          </w:p>
        </w:tc>
        <w:tc>
          <w:tcPr>
            <w:tcW w:w="1670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3 863 893,80</w:t>
            </w:r>
          </w:p>
        </w:tc>
      </w:tr>
      <w:tr w:rsidR="00491ACE" w:rsidRPr="000D5831" w:rsidTr="007F6336">
        <w:trPr>
          <w:trHeight w:val="805"/>
        </w:trPr>
        <w:tc>
          <w:tcPr>
            <w:tcW w:w="4928" w:type="dxa"/>
            <w:vAlign w:val="center"/>
            <w:hideMark/>
          </w:tcPr>
          <w:p w:rsidR="00491ACE" w:rsidRPr="00491ACE" w:rsidRDefault="00491ACE" w:rsidP="00491ACE">
            <w:pPr>
              <w:rPr>
                <w:rFonts w:ascii="Arial" w:hAnsi="Arial" w:cs="Arial"/>
                <w:b/>
                <w:iCs/>
              </w:rPr>
            </w:pPr>
            <w:r w:rsidRPr="00491ACE">
              <w:rPr>
                <w:rFonts w:ascii="Arial" w:hAnsi="Arial" w:cs="Arial"/>
                <w:b/>
                <w:iCs/>
              </w:rPr>
              <w:t>ŠC 1.2.1 Zvyšovanie atraktivity a konkurencieschopnosti verejnej osobnej dopravy</w:t>
            </w:r>
          </w:p>
        </w:tc>
        <w:tc>
          <w:tcPr>
            <w:tcW w:w="1716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8 500 000</w:t>
            </w:r>
          </w:p>
        </w:tc>
        <w:tc>
          <w:tcPr>
            <w:tcW w:w="1859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8 070 678,47</w:t>
            </w:r>
          </w:p>
        </w:tc>
        <w:tc>
          <w:tcPr>
            <w:tcW w:w="1670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429 321,53</w:t>
            </w:r>
          </w:p>
        </w:tc>
      </w:tr>
      <w:tr w:rsidR="00491ACE" w:rsidRPr="000D5831" w:rsidTr="007F6336">
        <w:trPr>
          <w:trHeight w:val="1159"/>
        </w:trPr>
        <w:tc>
          <w:tcPr>
            <w:tcW w:w="4928" w:type="dxa"/>
            <w:vAlign w:val="center"/>
            <w:hideMark/>
          </w:tcPr>
          <w:p w:rsidR="00491ACE" w:rsidRPr="00491ACE" w:rsidRDefault="00491ACE" w:rsidP="00491ACE">
            <w:pPr>
              <w:rPr>
                <w:rFonts w:ascii="Arial" w:hAnsi="Arial" w:cs="Arial"/>
                <w:b/>
                <w:iCs/>
              </w:rPr>
            </w:pPr>
            <w:r w:rsidRPr="00491ACE">
              <w:rPr>
                <w:rFonts w:ascii="Arial" w:hAnsi="Arial" w:cs="Arial"/>
                <w:b/>
                <w:iCs/>
              </w:rPr>
              <w:t>ŠC 1.2.2 Zvýšenie atraktivity a prepravnej kapacity nemotorovej dopravy predovšetkým cyklistickej dopravy) na celkovom počte prepravených osôb</w:t>
            </w:r>
          </w:p>
        </w:tc>
        <w:tc>
          <w:tcPr>
            <w:tcW w:w="1716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4 500 000</w:t>
            </w:r>
          </w:p>
        </w:tc>
        <w:tc>
          <w:tcPr>
            <w:tcW w:w="1859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4 285 339,23</w:t>
            </w:r>
          </w:p>
        </w:tc>
        <w:tc>
          <w:tcPr>
            <w:tcW w:w="1670" w:type="dxa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</w:rPr>
            </w:pPr>
            <w:r w:rsidRPr="00491ACE">
              <w:rPr>
                <w:rFonts w:ascii="Arial" w:hAnsi="Arial" w:cs="Arial"/>
              </w:rPr>
              <w:t>214 661,77</w:t>
            </w:r>
          </w:p>
        </w:tc>
      </w:tr>
      <w:tr w:rsidR="00491ACE" w:rsidRPr="000D5831" w:rsidTr="007F6336">
        <w:trPr>
          <w:trHeight w:val="447"/>
        </w:trPr>
        <w:tc>
          <w:tcPr>
            <w:tcW w:w="4928" w:type="dxa"/>
            <w:shd w:val="clear" w:color="auto" w:fill="D0CECE" w:themeFill="background2" w:themeFillShade="E6"/>
            <w:vAlign w:val="center"/>
            <w:hideMark/>
          </w:tcPr>
          <w:p w:rsidR="00491ACE" w:rsidRPr="00491ACE" w:rsidRDefault="00491ACE" w:rsidP="00491ACE">
            <w:pPr>
              <w:rPr>
                <w:rFonts w:ascii="Arial" w:hAnsi="Arial" w:cs="Arial"/>
                <w:b/>
                <w:bCs/>
                <w:iCs/>
              </w:rPr>
            </w:pPr>
            <w:r w:rsidRPr="00491ACE">
              <w:rPr>
                <w:rFonts w:ascii="Arial" w:hAnsi="Arial" w:cs="Arial"/>
                <w:b/>
                <w:bCs/>
                <w:iCs/>
              </w:rPr>
              <w:t>Prioritná os č. 1: Bezpečná a ekologická doprava v regiónoch</w:t>
            </w:r>
          </w:p>
        </w:tc>
        <w:tc>
          <w:tcPr>
            <w:tcW w:w="1716" w:type="dxa"/>
            <w:shd w:val="clear" w:color="auto" w:fill="D0CECE" w:themeFill="background2" w:themeFillShade="E6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  <w:b/>
                <w:bCs/>
              </w:rPr>
            </w:pPr>
            <w:r w:rsidRPr="00491ACE">
              <w:rPr>
                <w:rFonts w:ascii="Arial" w:hAnsi="Arial" w:cs="Arial"/>
                <w:b/>
                <w:bCs/>
              </w:rPr>
              <w:t>21 000 000</w:t>
            </w:r>
          </w:p>
        </w:tc>
        <w:tc>
          <w:tcPr>
            <w:tcW w:w="1859" w:type="dxa"/>
            <w:shd w:val="clear" w:color="auto" w:fill="D0CECE" w:themeFill="background2" w:themeFillShade="E6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  <w:b/>
                <w:bCs/>
              </w:rPr>
            </w:pPr>
            <w:r w:rsidRPr="00491ACE">
              <w:rPr>
                <w:rFonts w:ascii="Arial" w:hAnsi="Arial" w:cs="Arial"/>
                <w:b/>
                <w:bCs/>
              </w:rPr>
              <w:t>16 492 123,90</w:t>
            </w:r>
          </w:p>
        </w:tc>
        <w:tc>
          <w:tcPr>
            <w:tcW w:w="1670" w:type="dxa"/>
            <w:shd w:val="clear" w:color="auto" w:fill="D0CECE" w:themeFill="background2" w:themeFillShade="E6"/>
            <w:noWrap/>
            <w:vAlign w:val="center"/>
            <w:hideMark/>
          </w:tcPr>
          <w:p w:rsidR="00491ACE" w:rsidRPr="00491ACE" w:rsidRDefault="00491ACE" w:rsidP="00491ACE">
            <w:pPr>
              <w:jc w:val="right"/>
              <w:rPr>
                <w:rFonts w:ascii="Arial" w:hAnsi="Arial" w:cs="Arial"/>
                <w:b/>
                <w:bCs/>
              </w:rPr>
            </w:pPr>
            <w:r w:rsidRPr="00491ACE">
              <w:rPr>
                <w:rFonts w:ascii="Arial" w:hAnsi="Arial" w:cs="Arial"/>
                <w:b/>
                <w:bCs/>
              </w:rPr>
              <w:t>4 507 876,10</w:t>
            </w:r>
          </w:p>
        </w:tc>
      </w:tr>
    </w:tbl>
    <w:p w:rsidR="000E667D" w:rsidRDefault="000E667D" w:rsidP="009D76FD">
      <w:pPr>
        <w:rPr>
          <w:rFonts w:ascii="Arial" w:hAnsi="Arial" w:cs="Arial"/>
        </w:rPr>
      </w:pPr>
    </w:p>
    <w:p w:rsidR="00EF6126" w:rsidRDefault="00491ACE" w:rsidP="00EA7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Predmetná zmena sa udiala na základe požiadavky Európskej komisie</w:t>
      </w:r>
      <w:r w:rsidR="00A658E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ako aj Ministerstva dopravy a výstavby SR </w:t>
      </w:r>
      <w:r w:rsidR="00EF6126">
        <w:rPr>
          <w:rFonts w:ascii="Arial" w:hAnsi="Arial" w:cs="Arial"/>
        </w:rPr>
        <w:t>v záujme posilnenia finančných prostriedkov v prospech udržateľnej dopravy</w:t>
      </w:r>
      <w:r w:rsidR="00A658EC">
        <w:rPr>
          <w:rFonts w:ascii="Arial" w:hAnsi="Arial" w:cs="Arial"/>
        </w:rPr>
        <w:t>,</w:t>
      </w:r>
      <w:r w:rsidR="00EF6126">
        <w:rPr>
          <w:rFonts w:ascii="Arial" w:hAnsi="Arial" w:cs="Arial"/>
        </w:rPr>
        <w:t xml:space="preserve"> teda nemotorovej </w:t>
      </w:r>
      <w:r w:rsidR="00A658EC">
        <w:rPr>
          <w:rFonts w:ascii="Arial" w:hAnsi="Arial" w:cs="Arial"/>
        </w:rPr>
        <w:t>a</w:t>
      </w:r>
      <w:r w:rsidR="00EF6126">
        <w:rPr>
          <w:rFonts w:ascii="Arial" w:hAnsi="Arial" w:cs="Arial"/>
        </w:rPr>
        <w:t xml:space="preserve"> verejnej osobnej dopravy.</w:t>
      </w:r>
    </w:p>
    <w:p w:rsidR="00491ACE" w:rsidRDefault="00EF6126" w:rsidP="00EA7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 na prvom rokovaní Rady Partnerstva (01.03.2016) bola </w:t>
      </w:r>
      <w:r w:rsidR="00A42FBF">
        <w:rPr>
          <w:rFonts w:ascii="Arial" w:hAnsi="Arial" w:cs="Arial"/>
        </w:rPr>
        <w:t>vyjadrená</w:t>
      </w:r>
      <w:r>
        <w:rPr>
          <w:rFonts w:ascii="Arial" w:hAnsi="Arial" w:cs="Arial"/>
        </w:rPr>
        <w:t xml:space="preserve"> jasná vôľa prednesenú požiadavku riešiť v prospech projektov nemotorovej a verejnej osobnej dopravy hneď po dôkladnej analýze pripravenosti územia a záujmu žiadateľov o takýto druh projektov. Pričom rovnako bolo deklarované zo strany vedenia BSK, že k predmetn</w:t>
      </w:r>
      <w:r w:rsidR="00A42FBF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zmene vo finančných alokáciách v rámci prioritnej osi č.</w:t>
      </w:r>
      <w:r w:rsidR="00EA7E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 môže dôjsť len na základe všeobecného územného konsenzu všetkých dotknutých mikroregiónov BSK. </w:t>
      </w:r>
    </w:p>
    <w:p w:rsidR="00A42FBF" w:rsidRPr="00A42FBF" w:rsidRDefault="00A42FBF" w:rsidP="00A42FBF">
      <w:pPr>
        <w:jc w:val="both"/>
        <w:rPr>
          <w:rFonts w:ascii="Arial" w:hAnsi="Arial" w:cs="Arial"/>
        </w:rPr>
      </w:pPr>
      <w:r w:rsidRPr="00A42FBF">
        <w:rPr>
          <w:rFonts w:ascii="Arial" w:hAnsi="Arial" w:cs="Arial"/>
        </w:rPr>
        <w:lastRenderedPageBreak/>
        <w:t>Na podnet Ministerstva pôdohospodárstva a rozvoja vidieka SR</w:t>
      </w:r>
      <w:r>
        <w:rPr>
          <w:rFonts w:ascii="Arial" w:hAnsi="Arial" w:cs="Arial"/>
        </w:rPr>
        <w:t xml:space="preserve"> – </w:t>
      </w:r>
      <w:r w:rsidR="00EA7E17">
        <w:rPr>
          <w:rFonts w:ascii="Arial" w:hAnsi="Arial" w:cs="Arial"/>
        </w:rPr>
        <w:t>R</w:t>
      </w:r>
      <w:r>
        <w:rPr>
          <w:rFonts w:ascii="Arial" w:hAnsi="Arial" w:cs="Arial"/>
        </w:rPr>
        <w:t>iadiaci orgán pre IROP</w:t>
      </w:r>
      <w:r w:rsidRPr="00A42FBF">
        <w:rPr>
          <w:rFonts w:ascii="Arial" w:hAnsi="Arial" w:cs="Arial"/>
        </w:rPr>
        <w:t xml:space="preserve"> sa v štvrtom kvartáli roku 2016 začal proces zisťovania aktuálneho stavu záujmu oprávnených žiadateľov zrealizovať projekty, ktorých obsahom sú aktivity z oblasti verejnej osobnej dopravy (ŠC 1.2.1) a cyklodopravy (ŠC 1.2.2) v území Bratislavského kraja. </w:t>
      </w:r>
    </w:p>
    <w:p w:rsidR="00A42FBF" w:rsidRPr="00A42FBF" w:rsidRDefault="00A42FBF" w:rsidP="00A42FBF">
      <w:pPr>
        <w:jc w:val="both"/>
        <w:rPr>
          <w:rFonts w:ascii="Arial" w:hAnsi="Arial" w:cs="Arial"/>
        </w:rPr>
      </w:pPr>
      <w:r w:rsidRPr="00A42FBF">
        <w:rPr>
          <w:rFonts w:ascii="Arial" w:hAnsi="Arial" w:cs="Arial"/>
        </w:rPr>
        <w:t xml:space="preserve">Bratislavský kraj, v spolupráci so Sprostredkovateľským orgánom </w:t>
      </w:r>
      <w:r w:rsidR="00EA7E17">
        <w:rPr>
          <w:rFonts w:ascii="Arial" w:hAnsi="Arial" w:cs="Arial"/>
        </w:rPr>
        <w:t>h</w:t>
      </w:r>
      <w:r w:rsidRPr="00A42FBF">
        <w:rPr>
          <w:rFonts w:ascii="Arial" w:hAnsi="Arial" w:cs="Arial"/>
        </w:rPr>
        <w:t>l.</w:t>
      </w:r>
      <w:r w:rsidR="00EA7E17">
        <w:rPr>
          <w:rFonts w:ascii="Arial" w:hAnsi="Arial" w:cs="Arial"/>
        </w:rPr>
        <w:t xml:space="preserve"> </w:t>
      </w:r>
      <w:r w:rsidRPr="00A42FBF">
        <w:rPr>
          <w:rFonts w:ascii="Arial" w:hAnsi="Arial" w:cs="Arial"/>
        </w:rPr>
        <w:t>m.</w:t>
      </w:r>
      <w:r w:rsidR="00EA7E17">
        <w:rPr>
          <w:rFonts w:ascii="Arial" w:hAnsi="Arial" w:cs="Arial"/>
        </w:rPr>
        <w:t xml:space="preserve"> </w:t>
      </w:r>
      <w:r w:rsidRPr="00A42FBF">
        <w:rPr>
          <w:rFonts w:ascii="Arial" w:hAnsi="Arial" w:cs="Arial"/>
        </w:rPr>
        <w:t xml:space="preserve">SR Bratislava (SO </w:t>
      </w:r>
      <w:r w:rsidR="00EA7E17">
        <w:rPr>
          <w:rFonts w:ascii="Arial" w:hAnsi="Arial" w:cs="Arial"/>
        </w:rPr>
        <w:t xml:space="preserve">pre IROP </w:t>
      </w:r>
      <w:r w:rsidRPr="00A42FBF">
        <w:rPr>
          <w:rFonts w:ascii="Arial" w:hAnsi="Arial" w:cs="Arial"/>
        </w:rPr>
        <w:t>BA), zorganizoval sériu spoločných stretnutí s potenciálnymi žiadateľmi o</w:t>
      </w:r>
      <w:r>
        <w:rPr>
          <w:rFonts w:ascii="Arial" w:hAnsi="Arial" w:cs="Arial"/>
        </w:rPr>
        <w:t> nenávratný finančný príspevok</w:t>
      </w:r>
      <w:r w:rsidRPr="00A42FBF">
        <w:rPr>
          <w:rFonts w:ascii="Arial" w:hAnsi="Arial" w:cs="Arial"/>
        </w:rPr>
        <w:t xml:space="preserve"> v období od 23. do 24.03.2017 s cieľom zistiť ich pripravenosť realizovať projekty v rámci príslušných špecifických cieľov. Jednotlivé obce, mestá a mestské časti </w:t>
      </w:r>
      <w:r w:rsidR="00EA7E17">
        <w:rPr>
          <w:rFonts w:ascii="Arial" w:hAnsi="Arial" w:cs="Arial"/>
        </w:rPr>
        <w:t>h</w:t>
      </w:r>
      <w:r w:rsidRPr="00A42FBF">
        <w:rPr>
          <w:rFonts w:ascii="Arial" w:hAnsi="Arial" w:cs="Arial"/>
        </w:rPr>
        <w:t>l.</w:t>
      </w:r>
      <w:r w:rsidR="00EA7E17">
        <w:rPr>
          <w:rFonts w:ascii="Arial" w:hAnsi="Arial" w:cs="Arial"/>
        </w:rPr>
        <w:t xml:space="preserve"> </w:t>
      </w:r>
      <w:r w:rsidRPr="00A42FBF">
        <w:rPr>
          <w:rFonts w:ascii="Arial" w:hAnsi="Arial" w:cs="Arial"/>
        </w:rPr>
        <w:t>m.</w:t>
      </w:r>
      <w:r w:rsidR="00EA7E17">
        <w:rPr>
          <w:rFonts w:ascii="Arial" w:hAnsi="Arial" w:cs="Arial"/>
        </w:rPr>
        <w:t xml:space="preserve"> </w:t>
      </w:r>
      <w:r w:rsidRPr="00A42FBF">
        <w:rPr>
          <w:rFonts w:ascii="Arial" w:hAnsi="Arial" w:cs="Arial"/>
        </w:rPr>
        <w:t xml:space="preserve">SR Bratislava odprezentovali projektové zámery, pričom sa skúmal stav ich projektovej dokumentácie, proces stavebného konania, majetkovo-právne vzťahy, doba realizácie, potreba EIA/SEA posudzovania vplyvov na životné prostredie, finančná a časová náročnosť projektu a iné. Po spoločnej dohode so SO </w:t>
      </w:r>
      <w:r w:rsidR="00EA7E17">
        <w:rPr>
          <w:rFonts w:ascii="Arial" w:hAnsi="Arial" w:cs="Arial"/>
        </w:rPr>
        <w:t>BA</w:t>
      </w:r>
      <w:r w:rsidRPr="00A42FBF">
        <w:rPr>
          <w:rFonts w:ascii="Arial" w:hAnsi="Arial" w:cs="Arial"/>
        </w:rPr>
        <w:t xml:space="preserve"> a SO BSK, na základe miery pripravenosti, ako aj predpokladanej časovej náročnosti zostávajúcich krokov, potrebných ku kompletnej </w:t>
      </w:r>
      <w:r>
        <w:rPr>
          <w:rFonts w:ascii="Arial" w:hAnsi="Arial" w:cs="Arial"/>
        </w:rPr>
        <w:t>žiadosti o nenávratný finančný príspevok (ŽoNFP)</w:t>
      </w:r>
      <w:r w:rsidRPr="00A42FBF">
        <w:rPr>
          <w:rFonts w:ascii="Arial" w:hAnsi="Arial" w:cs="Arial"/>
        </w:rPr>
        <w:t xml:space="preserve">, boli projekty rozdelené do skupín podľa mesiacov možného predloženia ŽoNFP na jún 2017, september 2017 a prvý kvartál 2018. </w:t>
      </w:r>
    </w:p>
    <w:p w:rsidR="00A42FBF" w:rsidRPr="00A42FBF" w:rsidRDefault="00A42FBF" w:rsidP="00A42FBF">
      <w:pPr>
        <w:jc w:val="both"/>
        <w:rPr>
          <w:rFonts w:ascii="Arial" w:hAnsi="Arial" w:cs="Arial"/>
        </w:rPr>
      </w:pPr>
      <w:r w:rsidRPr="00A42FBF">
        <w:rPr>
          <w:rFonts w:ascii="Arial" w:hAnsi="Arial" w:cs="Arial"/>
        </w:rPr>
        <w:t>V rámci ŠC 1.2.1 – oblasť podpory verejná osobná doprava a ŠC 1.2.2 – oblasť podpory cyklodoprava a nemotorová doprava predpokladáme do júna 2017 pripravených celkovo 10 projektov, z toho 4 projekty podporujúce verejnú osobnú dopravu (VOD) a 6 projektov podporujúcich cyklodopravu, do septembra 2017 9 projektov, z toho 2 projekty podporujúce VOD a 7 projektov podporujúcich cyklodopravu a do prvého kvartálu roku 2018 celkovo 5 projektov, z toho 1 projekt podporujúci VOD a 4 pro</w:t>
      </w:r>
      <w:r>
        <w:rPr>
          <w:rFonts w:ascii="Arial" w:hAnsi="Arial" w:cs="Arial"/>
        </w:rPr>
        <w:t>jekty podporujúce cyklodopravu.</w:t>
      </w:r>
    </w:p>
    <w:p w:rsidR="00A42FBF" w:rsidRPr="00A42FBF" w:rsidRDefault="00A42FBF" w:rsidP="00A42FBF">
      <w:pPr>
        <w:jc w:val="both"/>
        <w:rPr>
          <w:rFonts w:ascii="Arial" w:hAnsi="Arial" w:cs="Arial"/>
        </w:rPr>
      </w:pPr>
      <w:r w:rsidRPr="00A42FBF">
        <w:rPr>
          <w:rFonts w:ascii="Arial" w:hAnsi="Arial" w:cs="Arial"/>
        </w:rPr>
        <w:t>Ďalším krokom v procese potvrdenia realokácie finančných prostriedkov v rámci PO1: Bezpečná a ekologická doprava bude zasadnutie Monitorovacieho výboru v máji 2017. V jeho nadväznosti budú vyhlásené výzvy pre jednotlivé ŠC v PO 1.</w:t>
      </w:r>
    </w:p>
    <w:p w:rsidR="000E667D" w:rsidRDefault="00261AED" w:rsidP="00EA7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Potom čo prebehla dôkladná analýza záujmu a pripravenosti žiadateľov o hore uvedené projekty, bolo nutné dosiahnuť aj dohodu v území medzi jednotlivými aktérmi samospráv BSK. Predovšetkým Združenie miest a obcí Malokarpatského regiónu vyjadril</w:t>
      </w:r>
      <w:r w:rsidR="00CC2C0A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svoje obavy vo vzťahu predmetnej reaolákácie a jej vplyvu na prípravu projektu obchvatu Pezinok – Modra s napojením na D1.</w:t>
      </w:r>
    </w:p>
    <w:p w:rsidR="00CC2C0A" w:rsidRDefault="00261AED" w:rsidP="00EA7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Bratislavský samosprávny kraj zvolal a zúčastnil sa sérii rokovaní, ktoré s predstaviteľmi </w:t>
      </w:r>
      <w:r w:rsidR="00CC2C0A">
        <w:rPr>
          <w:rFonts w:ascii="Arial" w:hAnsi="Arial" w:cs="Arial"/>
        </w:rPr>
        <w:t xml:space="preserve">dotknutých </w:t>
      </w:r>
      <w:r>
        <w:rPr>
          <w:rFonts w:ascii="Arial" w:hAnsi="Arial" w:cs="Arial"/>
        </w:rPr>
        <w:t>miest</w:t>
      </w:r>
      <w:r w:rsidR="00CC2C0A">
        <w:rPr>
          <w:rFonts w:ascii="Arial" w:hAnsi="Arial" w:cs="Arial"/>
        </w:rPr>
        <w:t xml:space="preserve"> a obcí</w:t>
      </w:r>
      <w:r>
        <w:rPr>
          <w:rFonts w:ascii="Arial" w:hAnsi="Arial" w:cs="Arial"/>
        </w:rPr>
        <w:t xml:space="preserve"> mikroregiónu </w:t>
      </w:r>
      <w:r w:rsidR="00CC2C0A">
        <w:rPr>
          <w:rFonts w:ascii="Arial" w:hAnsi="Arial" w:cs="Arial"/>
        </w:rPr>
        <w:t xml:space="preserve">Malokarpatsko </w:t>
      </w:r>
      <w:r>
        <w:rPr>
          <w:rFonts w:ascii="Arial" w:hAnsi="Arial" w:cs="Arial"/>
        </w:rPr>
        <w:t>prebiehali od decembra minulého roku. I</w:t>
      </w:r>
      <w:r w:rsidR="00CC2C0A">
        <w:rPr>
          <w:rFonts w:ascii="Arial" w:hAnsi="Arial" w:cs="Arial"/>
        </w:rPr>
        <w:t xml:space="preserve">ch </w:t>
      </w:r>
      <w:r w:rsidR="00CC2C0A">
        <w:rPr>
          <w:rFonts w:ascii="Arial" w:hAnsi="Arial" w:cs="Arial"/>
        </w:rPr>
        <w:lastRenderedPageBreak/>
        <w:t xml:space="preserve">predmetom bola prezentácia status quo ako aj súbor pripravovaných krokov nevyhnutných na spustenie investície obchvatu. </w:t>
      </w:r>
    </w:p>
    <w:p w:rsidR="00CE642F" w:rsidRDefault="00CC2C0A" w:rsidP="009D76F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Ostatné dve stretnutia nastolili pozitívny trend v predmetnej veci. </w:t>
      </w:r>
    </w:p>
    <w:p w:rsidR="00261AED" w:rsidRDefault="00CC2C0A" w:rsidP="00EA7E1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Dňa 27. apríla 2017 boli predstavitelia lokálnych samospráv</w:t>
      </w:r>
      <w:r w:rsidR="00CE642F">
        <w:rPr>
          <w:rFonts w:ascii="Arial" w:hAnsi="Arial" w:cs="Arial"/>
        </w:rPr>
        <w:t xml:space="preserve"> (Slovenský Grob, Chorvátsky Grob, Vajnory, Sv. Jur)</w:t>
      </w:r>
      <w:r>
        <w:rPr>
          <w:rFonts w:ascii="Arial" w:hAnsi="Arial" w:cs="Arial"/>
        </w:rPr>
        <w:t xml:space="preserve"> informovaní zo strany RCB a.s. ako aj BSK o akcelerácii krokov vo veci </w:t>
      </w:r>
      <w:r w:rsidR="00CE642F">
        <w:rPr>
          <w:rFonts w:ascii="Arial" w:hAnsi="Arial" w:cs="Arial"/>
        </w:rPr>
        <w:t xml:space="preserve">aktualizácie </w:t>
      </w:r>
      <w:r>
        <w:rPr>
          <w:rFonts w:ascii="Arial" w:hAnsi="Arial" w:cs="Arial"/>
        </w:rPr>
        <w:t xml:space="preserve">dokumentácie </w:t>
      </w:r>
      <w:r w:rsidR="00CE642F">
        <w:rPr>
          <w:rFonts w:ascii="Arial" w:hAnsi="Arial" w:cs="Arial"/>
        </w:rPr>
        <w:t>pre územné rozhodnutie vyhotovenej v roku 2008 v kontexte k novoschváleným trasovaniam obchvatu v územných plánoch samospráv a rovnako bol odprezentovaný časový harmonogram všetkých krokov na prípravu prvej fázy obchvatu tzv. „obchvaty Grobov“ s napojení  na D1 - Triblavina.</w:t>
      </w:r>
    </w:p>
    <w:p w:rsidR="003B2F3B" w:rsidRDefault="001C7377" w:rsidP="0038064B">
      <w:pPr>
        <w:jc w:val="both"/>
        <w:rPr>
          <w:rFonts w:ascii="Arial" w:hAnsi="Arial" w:cs="Arial"/>
          <w:b/>
          <w:spacing w:val="70"/>
        </w:rPr>
      </w:pPr>
      <w:r>
        <w:rPr>
          <w:rFonts w:ascii="Arial" w:hAnsi="Arial" w:cs="Arial"/>
        </w:rPr>
        <w:t>Napokon</w:t>
      </w:r>
      <w:r w:rsidR="00CE64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dňa 4. mája 2017 na svojom zasadnutí Združenie miest a obcí Malokarpatského regiónu svojím uznesením č. 10/2017 podporuje návrh realokácie a zároveň víta možnosť predstavenú Ministerstvom</w:t>
      </w:r>
      <w:r w:rsidRPr="00A42FBF">
        <w:rPr>
          <w:rFonts w:ascii="Arial" w:hAnsi="Arial" w:cs="Arial"/>
        </w:rPr>
        <w:t xml:space="preserve"> pôdohospodárstva a rozvoja vidieka SR</w:t>
      </w:r>
      <w:r>
        <w:rPr>
          <w:rFonts w:ascii="Arial" w:hAnsi="Arial" w:cs="Arial"/>
        </w:rPr>
        <w:t xml:space="preserve"> – riadiacim orgánom pre IROP prefinanocovania projektových prác obchvatu Pezinok – Modra – Groby z prostriedkov IROP</w:t>
      </w:r>
      <w:r w:rsidR="00A658EC">
        <w:rPr>
          <w:rFonts w:ascii="Arial" w:hAnsi="Arial" w:cs="Arial"/>
        </w:rPr>
        <w:t xml:space="preserve"> v záujme akcelerácie výstavby obchvatu.</w:t>
      </w:r>
    </w:p>
    <w:sectPr w:rsidR="003B2F3B" w:rsidSect="00ED711B">
      <w:pgSz w:w="12240" w:h="15840"/>
      <w:pgMar w:top="1276" w:right="1100" w:bottom="1060" w:left="1020" w:header="851" w:footer="8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9B9" w:rsidRDefault="00A649B9" w:rsidP="00663E93">
      <w:pPr>
        <w:spacing w:after="0" w:line="240" w:lineRule="auto"/>
      </w:pPr>
      <w:r>
        <w:separator/>
      </w:r>
    </w:p>
  </w:endnote>
  <w:endnote w:type="continuationSeparator" w:id="0">
    <w:p w:rsidR="00A649B9" w:rsidRDefault="00A649B9" w:rsidP="00663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9B9" w:rsidRDefault="00A649B9" w:rsidP="00663E93">
      <w:pPr>
        <w:spacing w:after="0" w:line="240" w:lineRule="auto"/>
      </w:pPr>
      <w:r>
        <w:separator/>
      </w:r>
    </w:p>
  </w:footnote>
  <w:footnote w:type="continuationSeparator" w:id="0">
    <w:p w:rsidR="00A649B9" w:rsidRDefault="00A649B9" w:rsidP="00663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47721"/>
    <w:multiLevelType w:val="multilevel"/>
    <w:tmpl w:val="744C2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isLgl/>
      <w:lvlText w:val="%1.%2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8" w:hanging="1800"/>
      </w:pPr>
      <w:rPr>
        <w:rFonts w:hint="default"/>
      </w:rPr>
    </w:lvl>
  </w:abstractNum>
  <w:abstractNum w:abstractNumId="1" w15:restartNumberingAfterBreak="0">
    <w:nsid w:val="384D1033"/>
    <w:multiLevelType w:val="hybridMultilevel"/>
    <w:tmpl w:val="643EFC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A5D80"/>
    <w:multiLevelType w:val="multilevel"/>
    <w:tmpl w:val="680ACE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3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68" w:hanging="1800"/>
      </w:pPr>
      <w:rPr>
        <w:rFonts w:hint="default"/>
      </w:rPr>
    </w:lvl>
  </w:abstractNum>
  <w:abstractNum w:abstractNumId="3" w15:restartNumberingAfterBreak="0">
    <w:nsid w:val="46254E3A"/>
    <w:multiLevelType w:val="hybridMultilevel"/>
    <w:tmpl w:val="2FFAF50A"/>
    <w:lvl w:ilvl="0" w:tplc="041B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71AB0C98"/>
    <w:multiLevelType w:val="hybridMultilevel"/>
    <w:tmpl w:val="9C6090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4B8"/>
    <w:rsid w:val="000040A7"/>
    <w:rsid w:val="00021E9F"/>
    <w:rsid w:val="0004352A"/>
    <w:rsid w:val="0005335E"/>
    <w:rsid w:val="00064F56"/>
    <w:rsid w:val="00097CE3"/>
    <w:rsid w:val="000B5048"/>
    <w:rsid w:val="000D25A3"/>
    <w:rsid w:val="000E667D"/>
    <w:rsid w:val="000F3EF2"/>
    <w:rsid w:val="001310AE"/>
    <w:rsid w:val="001474FC"/>
    <w:rsid w:val="0019606F"/>
    <w:rsid w:val="001B0D3A"/>
    <w:rsid w:val="001C7376"/>
    <w:rsid w:val="001C7377"/>
    <w:rsid w:val="001F6DF5"/>
    <w:rsid w:val="002016DD"/>
    <w:rsid w:val="002377CD"/>
    <w:rsid w:val="00261AED"/>
    <w:rsid w:val="002629BF"/>
    <w:rsid w:val="002769B0"/>
    <w:rsid w:val="00286050"/>
    <w:rsid w:val="002A0F45"/>
    <w:rsid w:val="002A1C5A"/>
    <w:rsid w:val="002A5C44"/>
    <w:rsid w:val="002A707C"/>
    <w:rsid w:val="002B2C00"/>
    <w:rsid w:val="002B6A68"/>
    <w:rsid w:val="002D4067"/>
    <w:rsid w:val="002E37EB"/>
    <w:rsid w:val="002E6CFC"/>
    <w:rsid w:val="002F6309"/>
    <w:rsid w:val="003104E7"/>
    <w:rsid w:val="003303D9"/>
    <w:rsid w:val="003320EB"/>
    <w:rsid w:val="003362F7"/>
    <w:rsid w:val="00341738"/>
    <w:rsid w:val="0038064B"/>
    <w:rsid w:val="00390B27"/>
    <w:rsid w:val="003B2F3B"/>
    <w:rsid w:val="003E5C91"/>
    <w:rsid w:val="00427925"/>
    <w:rsid w:val="0046006C"/>
    <w:rsid w:val="00491ACE"/>
    <w:rsid w:val="004940AD"/>
    <w:rsid w:val="00494E94"/>
    <w:rsid w:val="004A6AEA"/>
    <w:rsid w:val="004D7ED4"/>
    <w:rsid w:val="005174BA"/>
    <w:rsid w:val="00533AC2"/>
    <w:rsid w:val="00573711"/>
    <w:rsid w:val="005A6A95"/>
    <w:rsid w:val="006454FB"/>
    <w:rsid w:val="0066213B"/>
    <w:rsid w:val="00663E93"/>
    <w:rsid w:val="00677D87"/>
    <w:rsid w:val="00681FF7"/>
    <w:rsid w:val="00686EA0"/>
    <w:rsid w:val="0069564D"/>
    <w:rsid w:val="006A3994"/>
    <w:rsid w:val="006E44B8"/>
    <w:rsid w:val="00705A11"/>
    <w:rsid w:val="00763A25"/>
    <w:rsid w:val="007E364C"/>
    <w:rsid w:val="007F6336"/>
    <w:rsid w:val="00811275"/>
    <w:rsid w:val="00863EA7"/>
    <w:rsid w:val="008733EA"/>
    <w:rsid w:val="008735C6"/>
    <w:rsid w:val="009604A9"/>
    <w:rsid w:val="00962740"/>
    <w:rsid w:val="0097250B"/>
    <w:rsid w:val="009A306F"/>
    <w:rsid w:val="009B13F6"/>
    <w:rsid w:val="009D76FD"/>
    <w:rsid w:val="00A05973"/>
    <w:rsid w:val="00A23BC8"/>
    <w:rsid w:val="00A2767C"/>
    <w:rsid w:val="00A42FBF"/>
    <w:rsid w:val="00A649B9"/>
    <w:rsid w:val="00A658EC"/>
    <w:rsid w:val="00A879F0"/>
    <w:rsid w:val="00A9320F"/>
    <w:rsid w:val="00A97B81"/>
    <w:rsid w:val="00AA44B3"/>
    <w:rsid w:val="00B3663B"/>
    <w:rsid w:val="00B82283"/>
    <w:rsid w:val="00B900E4"/>
    <w:rsid w:val="00BB0D22"/>
    <w:rsid w:val="00BE2190"/>
    <w:rsid w:val="00BF2801"/>
    <w:rsid w:val="00BF6184"/>
    <w:rsid w:val="00C049B7"/>
    <w:rsid w:val="00C11767"/>
    <w:rsid w:val="00C11934"/>
    <w:rsid w:val="00C24155"/>
    <w:rsid w:val="00C26320"/>
    <w:rsid w:val="00C30156"/>
    <w:rsid w:val="00C34C75"/>
    <w:rsid w:val="00C72750"/>
    <w:rsid w:val="00C81953"/>
    <w:rsid w:val="00C819FC"/>
    <w:rsid w:val="00CC2C0A"/>
    <w:rsid w:val="00CE642F"/>
    <w:rsid w:val="00D22FF0"/>
    <w:rsid w:val="00D3345F"/>
    <w:rsid w:val="00D422BD"/>
    <w:rsid w:val="00D532A9"/>
    <w:rsid w:val="00D81F15"/>
    <w:rsid w:val="00D84EA8"/>
    <w:rsid w:val="00DE59F4"/>
    <w:rsid w:val="00DF2941"/>
    <w:rsid w:val="00E86A7D"/>
    <w:rsid w:val="00EA7E17"/>
    <w:rsid w:val="00EB6FAB"/>
    <w:rsid w:val="00ED711B"/>
    <w:rsid w:val="00EF53A8"/>
    <w:rsid w:val="00EF6126"/>
    <w:rsid w:val="00F51EB4"/>
    <w:rsid w:val="00F57599"/>
    <w:rsid w:val="00F638BB"/>
    <w:rsid w:val="00F750A2"/>
    <w:rsid w:val="00F770AA"/>
    <w:rsid w:val="00F96D9A"/>
    <w:rsid w:val="00FC1317"/>
    <w:rsid w:val="00FD68BD"/>
    <w:rsid w:val="00FE4094"/>
    <w:rsid w:val="00FF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228880-9505-4821-81F9-691E68BB4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E44B8"/>
    <w:pPr>
      <w:spacing w:after="200" w:line="276" w:lineRule="auto"/>
    </w:p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638BB"/>
    <w:pPr>
      <w:keepNext/>
      <w:keepLines/>
      <w:pBdr>
        <w:top w:val="single" w:sz="12" w:space="1" w:color="44546A" w:themeColor="text2"/>
        <w:left w:val="single" w:sz="12" w:space="4" w:color="44546A" w:themeColor="text2"/>
        <w:bottom w:val="single" w:sz="12" w:space="1" w:color="44546A" w:themeColor="text2"/>
        <w:right w:val="single" w:sz="12" w:space="4" w:color="44546A" w:themeColor="text2"/>
      </w:pBdr>
      <w:spacing w:before="120" w:after="120" w:line="240" w:lineRule="auto"/>
      <w:jc w:val="center"/>
      <w:outlineLvl w:val="2"/>
    </w:pPr>
    <w:rPr>
      <w:rFonts w:eastAsiaTheme="majorEastAsia" w:cstheme="majorBidi"/>
      <w:b/>
      <w:bCs/>
      <w:color w:val="5B9BD5" w:themeColor="accent1"/>
      <w:sz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63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63E93"/>
  </w:style>
  <w:style w:type="paragraph" w:styleId="Pta">
    <w:name w:val="footer"/>
    <w:basedOn w:val="Normlny"/>
    <w:link w:val="PtaChar"/>
    <w:uiPriority w:val="99"/>
    <w:unhideWhenUsed/>
    <w:rsid w:val="00663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63E93"/>
  </w:style>
  <w:style w:type="paragraph" w:customStyle="1" w:styleId="ZBSK">
    <w:name w:val="Z BSK"/>
    <w:basedOn w:val="Normlny"/>
    <w:qFormat/>
    <w:rsid w:val="00663E93"/>
    <w:rPr>
      <w:rFonts w:ascii="Arial" w:hAnsi="Arial" w:cs="Arial"/>
    </w:rPr>
  </w:style>
  <w:style w:type="character" w:styleId="Hypertextovprepojenie">
    <w:name w:val="Hyperlink"/>
    <w:basedOn w:val="Predvolenpsmoodseku"/>
    <w:uiPriority w:val="99"/>
    <w:unhideWhenUsed/>
    <w:rsid w:val="002769B0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770A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770A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770AA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A7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A707C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377CD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uiPriority w:val="9"/>
    <w:rsid w:val="00F638BB"/>
    <w:rPr>
      <w:rFonts w:eastAsiaTheme="majorEastAsia" w:cstheme="majorBidi"/>
      <w:b/>
      <w:bCs/>
      <w:color w:val="5B9BD5" w:themeColor="accent1"/>
      <w:sz w:val="26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638BB"/>
  </w:style>
  <w:style w:type="table" w:customStyle="1" w:styleId="TableNormal">
    <w:name w:val="Table Normal"/>
    <w:uiPriority w:val="2"/>
    <w:semiHidden/>
    <w:unhideWhenUsed/>
    <w:qFormat/>
    <w:rsid w:val="00F51EB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F51EB4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rsid w:val="00F51EB4"/>
    <w:rPr>
      <w:rFonts w:ascii="Verdana" w:eastAsia="Verdana" w:hAnsi="Verdana" w:cs="Verdana"/>
      <w:sz w:val="18"/>
      <w:szCs w:val="18"/>
      <w:lang w:val="en-US"/>
    </w:rPr>
  </w:style>
  <w:style w:type="paragraph" w:customStyle="1" w:styleId="TableParagraph">
    <w:name w:val="Table Paragraph"/>
    <w:basedOn w:val="Normlny"/>
    <w:uiPriority w:val="1"/>
    <w:qFormat/>
    <w:rsid w:val="00F51EB4"/>
    <w:pPr>
      <w:widowControl w:val="0"/>
      <w:autoSpaceDE w:val="0"/>
      <w:autoSpaceDN w:val="0"/>
      <w:spacing w:before="123" w:after="0" w:line="240" w:lineRule="auto"/>
      <w:ind w:left="75"/>
    </w:pPr>
    <w:rPr>
      <w:rFonts w:ascii="Gill Sans MT" w:eastAsia="Gill Sans MT" w:hAnsi="Gill Sans MT" w:cs="Gill Sans MT"/>
      <w:lang w:val="en-US"/>
    </w:rPr>
  </w:style>
  <w:style w:type="table" w:styleId="Mriekatabuky">
    <w:name w:val="Table Grid"/>
    <w:basedOn w:val="Normlnatabuka"/>
    <w:uiPriority w:val="39"/>
    <w:rsid w:val="00F51EB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C8B29-93CB-44DD-BC9C-3D9EC8A20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1004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Pavol Stano</dc:creator>
  <cp:lastModifiedBy>Jana Keherová</cp:lastModifiedBy>
  <cp:revision>2</cp:revision>
  <cp:lastPrinted>2017-05-11T11:39:00Z</cp:lastPrinted>
  <dcterms:created xsi:type="dcterms:W3CDTF">2017-05-12T05:44:00Z</dcterms:created>
  <dcterms:modified xsi:type="dcterms:W3CDTF">2017-05-12T05:44:00Z</dcterms:modified>
</cp:coreProperties>
</file>